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Segundo eslabón: efecto sobre el empleo total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951"/>
        <w:gridCol w:w="4679"/>
        <w:gridCol w:w="1426"/>
        <w:gridCol w:w="1585"/>
        <w:gridCol w:w="1707"/>
        <w:gridCol w:w="1132"/>
        <w:gridCol w:w="1609"/>
        <w:gridCol w:w="1365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lectura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-103.512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-378.571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171.547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-117.185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-426.246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191.876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-172.736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-435.751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-61.871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-203.710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54,014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-127.900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-295.708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54,014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-26.938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413.097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54,014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-53.867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-234.754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50,204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-123.988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-326.246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50,204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-198.353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182.530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50,204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-141.686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-332.695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50,204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-418.379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50,204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-41.827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-283.842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50,204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-350.403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-545.002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-155.805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-454.460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-677.337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-231.583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-83.614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-312.624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2026-09-26T19:44:13Z</dcterms:modified>
  <cp:category/>
</cp:coreProperties>
</file>