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Elasticidad implícita empleo-costo laboral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43"/>
        <w:gridCol w:w="1548"/>
        <w:gridCol w:w="1768"/>
        <w:gridCol w:w="1891"/>
        <w:gridCol w:w="1450"/>
        <w:gridCol w:w="2086"/>
        <w:gridCol w:w="220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primer_eslabon_pct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2026-09-26T19:44:14Z</dcterms:modified>
  <cp:category/>
</cp:coreProperties>
</file>