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Mecanismos de ajuste: efecto en 2023 por DE de exposición (exploratorio)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62"/>
        <w:gridCol w:w="3944"/>
        <w:gridCol w:w="1426"/>
        <w:gridCol w:w="1585"/>
        <w:gridCol w:w="1707"/>
        <w:gridCol w:w="1132"/>
        <w:gridCol w:w="2282"/>
        <w:gridCol w:w="1854"/>
        <w:gridCol w:w="2563"/>
        <w:gridCol w:w="1365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mecanismo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significancia_cruda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p_ajustado_bh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significancia_ajustada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Composición contractual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directo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-6.962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16,213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Composición contractual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Composición contractual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 agencias (indicador)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Composición contractual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de agencias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Composición contractual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Composición contractual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temporales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Composición contractual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de 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Composición contractual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temporal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23,804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Composición ocupacional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44,249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Composición ocupacional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obreros (OJO: circular)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Compresión salarial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obrero / salario admin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40,726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Hace outsourcing (indicador)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Pago a agencias temporales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15,956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Outsourcing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12,622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Honorarios y servicios técnicos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41,363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 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Inversión bruta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31,129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 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Invierte (indicador)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 (VA / trabajador, 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 Producción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agregado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2026-09-26T19:44:18Z</dcterms:modified>
  <cp:category/>
</cp:coreProperties>
</file>