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Cobertura de cada medida y del outcome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Cobertura de cada medida y del outcome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98"/>
        <w:gridCol w:w="2331"/>
        <w:gridCol w:w="35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firmas_con_medida_y_outcome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</w:tbl>
    <w:p>
      <w:pPr>
        <w:pStyle w:val="Titre2"/>
      </w:pPr>
      <w:r>
        <w:t xml:space="preserve">Tabla 2. Primer eslabón: efecto de una DE de exposición sobre el crecimiento del costo laboral 2022-2023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Primer eslabón: efecto de una DE de exposición sobre el crecimiento del costo laboral 2022-2023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205"/>
        <w:gridCol w:w="1303"/>
        <w:gridCol w:w="1462"/>
        <w:gridCol w:w="1854"/>
        <w:gridCol w:w="1132"/>
        <w:gridCol w:w="1609"/>
        <w:gridCol w:w="1609"/>
        <w:gridCol w:w="1731"/>
        <w:gridCol w:w="1426"/>
        <w:gridCol w:w="1829"/>
        <w:gridCol w:w="15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r2_ajustado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8.3478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</w:tr>
    </w:tbl>
    <w:p>
      <w:pPr>
        <w:pStyle w:val="Titre2"/>
      </w:pPr>
      <w:r>
        <w:t xml:space="preserve">Tabla 2b. Primer eslabón con outcomes que no usan 2022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2b. Primer eslabón con outcomes que no usan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3438"/>
        <w:gridCol w:w="1462"/>
        <w:gridCol w:w="1854"/>
        <w:gridCol w:w="1132"/>
        <w:gridCol w:w="1609"/>
        <w:gridCol w:w="1609"/>
        <w:gridCol w:w="1731"/>
        <w:gridCol w:w="1426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2022 -&gt; 2023 (original)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2022 -&gt; 2023 (original)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2022 -&gt; 2023 (original)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2022 -&gt; 2023 (original)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2022 -&gt; 2023 (original)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2019 y 2021 -&gt; 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5,902</w:t>
            </w:r>
          </w:p>
        </w:tc>
      </w:tr>
    </w:tbl>
    <w:p>
      <w:pPr>
        <w:pStyle w:val="Titre2"/>
      </w:pPr>
      <w:r>
        <w:t xml:space="preserve">Tabla 2c. Primer eslabón alternativo: rentabilidad y salida (pp por DE de exposición)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2c. Primer eslabón alternativo: rentabilidad y salida (pp por DE de exposición)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5700"/>
        <w:gridCol w:w="1462"/>
        <w:gridCol w:w="1854"/>
        <w:gridCol w:w="1132"/>
        <w:gridCol w:w="1609"/>
        <w:gridCol w:w="1609"/>
        <w:gridCol w:w="1731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2022 -&gt; 2023 (con traslape)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2022 -&gt; 2023 (con traslape)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2022 -&gt; 2023 (con traslape)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2022 -&gt; 2023 (con traslape)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Salida de la EAM en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Salida de la EAM en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Salida de la EAM en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Salida de la EAM en 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4.3998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5.2722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</w:tbl>
    <w:p>
      <w:pPr>
        <w:pStyle w:val="Titre2"/>
      </w:pPr>
      <w:r>
        <w:t xml:space="preserve">Tabla 2c2. Salida de la EAM: control de tamaño y firmas medianas y grandes (pp por DE de Kaitz)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2c2. Salida de la EAM: control de tamaño y firmas medianas y grandes (pp por DE de Kaitz)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3"/>
        <w:gridCol w:w="1426"/>
        <w:gridCol w:w="1829"/>
        <w:gridCol w:w="1854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chequeo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coeficiente_pp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Especificación principal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sale_2023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Especificación principal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sale_2024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sale_2023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sale_2024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medianas y grandes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sale_2023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2,446</w:t>
            </w:r>
          </w:p>
        </w:tc>
      </w:tr>
    </w:tbl>
    <w:p>
      <w:pPr>
        <w:pStyle w:val="Titre2"/>
      </w:pPr>
      <w:r>
        <w:t xml:space="preserve">Tabla 2c3. Salida de la EAM por año: efecto de una DE de Kaitz del año anterior (2020 es el año de la pandemia)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2c3. Salida de la EAM por año: efecto de una DE de Kaitz del año anterior (2020 es el año de la pandemia)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24"/>
        <w:gridCol w:w="1939"/>
        <w:gridCol w:w="1829"/>
        <w:gridCol w:w="1854"/>
        <w:gridCol w:w="1132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anio_salida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tasa_salida_pct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coeficiente_pp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8.5801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4.5770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5,345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4.1469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</w:t>
            </w:r>
          </w:p>
        </w:tc>
      </w:tr>
    </w:tbl>
    <w:p>
      <w:pPr>
        <w:pStyle w:val="Titre2"/>
      </w:pPr>
      <w:r>
        <w:t xml:space="preserve">Tabla 3. Coeficiente del primer eslabón con exposición medida en 2022 y en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Coeficiente del primer eslabón con exposición medida en 2022 y en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2038"/>
        <w:gridCol w:w="1744"/>
        <w:gridCol w:w="2038"/>
        <w:gridCol w:w="1744"/>
        <w:gridCol w:w="299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pareja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coef_base_2022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p_base_2022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coef_base_2019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p_base_2019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porcentaje_que_sobrevive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12.4000</w:t>
            </w:r>
          </w:p>
        </w:tc>
      </w:tr>
    </w:tbl>
    <w:p>
      <w:pPr>
        <w:pStyle w:val="Titre2"/>
      </w:pPr>
      <w:r>
        <w:t xml:space="preserve">Tabla 4. Primer eslabón en el año del choque y en el placebo 2018-2019 (placebo no informativo, ver nota en el script)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Primer eslabón en el año del choque y en el placebo 2018-2019 (placebo no informativo, ver nota en el script)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19"/>
        <w:gridCol w:w="1462"/>
        <w:gridCol w:w="1854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6,042</w:t>
            </w:r>
          </w:p>
        </w:tc>
      </w:tr>
    </w:tbl>
    <w:p>
      <w:pPr>
        <w:pStyle w:val="Titre2"/>
      </w:pPr>
      <w:r>
        <w:t xml:space="preserve">Tabla 5. Primer eslabón con y sin controles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Primer eslabón con y sin controles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768"/>
        <w:gridCol w:w="1462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</w:tbl>
    <w:p>
      <w:pPr>
        <w:pStyle w:val="Titre2"/>
      </w:pPr>
      <w:r>
        <w:t xml:space="preserve">Tabla 6. Primer eslabón con errores agrupados por sector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Primer eslabón con errores agrupados por sector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462"/>
        <w:gridCol w:w="2649"/>
        <w:gridCol w:w="1585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error_agrupado_sector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p_agrupado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p>
      <w:pPr>
        <w:pStyle w:val="Titre2"/>
      </w:pPr>
      <w:r>
        <w:t xml:space="preserve">Tabla 7. Crecimiento del costo laboral por quintil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Crecimiento del costo laboral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985"/>
        <w:gridCol w:w="1010"/>
        <w:gridCol w:w="2918"/>
        <w:gridCol w:w="267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crecimiento_mediano_pct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crecimiento_medio_pct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</w:tr>
    </w:tbl>
    <w:p>
      <w:pPr>
        <w:pStyle w:val="Titre2"/>
      </w:pPr>
      <w:r>
        <w:t xml:space="preserve">Tabla 8. Resumen del primer eslabón en la muestra común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Resumen del primer eslabón en la muestra común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462"/>
        <w:gridCol w:w="1426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8.3478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2026-09-27T20:11:55Z</dcterms:modified>
  <cp:category/>
</cp:coreProperties>
</file>