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Cobertura de cada medida y del outcome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98"/>
        <w:gridCol w:w="2331"/>
        <w:gridCol w:w="35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firmas_con_medida_y_outcome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2026-09-27T20:11:41Z</dcterms:modified>
  <cp:category/>
</cp:coreProperties>
</file>