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Primer eslabón: efecto de una DE de exposición sobre el crecimiento del costo laboral 2022-2023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205"/>
        <w:gridCol w:w="1303"/>
        <w:gridCol w:w="1462"/>
        <w:gridCol w:w="1854"/>
        <w:gridCol w:w="1132"/>
        <w:gridCol w:w="1609"/>
        <w:gridCol w:w="1609"/>
        <w:gridCol w:w="1731"/>
        <w:gridCol w:w="1426"/>
        <w:gridCol w:w="1829"/>
        <w:gridCol w:w="15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muestra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r2_ajustado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8.3478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2026-09-27T20:11:42Z</dcterms:modified>
  <cp:category/>
</cp:coreProperties>
</file>