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2b. Primer eslabón con outcomes que no usan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3438"/>
        <w:gridCol w:w="1462"/>
        <w:gridCol w:w="1854"/>
        <w:gridCol w:w="1132"/>
        <w:gridCol w:w="1609"/>
        <w:gridCol w:w="1609"/>
        <w:gridCol w:w="1731"/>
        <w:gridCol w:w="1426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2022 -&gt; 2023 (original)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2019 y 2021 -&gt; 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2026-09-27T20:11:44Z</dcterms:modified>
  <cp:category/>
</cp:coreProperties>
</file>