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2c2. Salida de la EAM: control de tamaño y firmas medianas y grandes (pp por DE de Kaitz)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3"/>
        <w:gridCol w:w="1426"/>
        <w:gridCol w:w="1829"/>
        <w:gridCol w:w="1854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chequeo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coeficiente_pp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Especificación 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sale_2023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Especificación 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sale_2024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de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sale_2023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 de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sale_2024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medianas y grandes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sale_2023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2026-09-27T20:11:46Z</dcterms:modified>
  <cp:category/>
</cp:coreProperties>
</file>