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2c3. Salida de la EAM por año: efecto de una DE de Kaitz del año anterior (2020 es el año de la pandemia)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4"/>
        <w:gridCol w:w="1939"/>
        <w:gridCol w:w="1829"/>
        <w:gridCol w:w="1854"/>
        <w:gridCol w:w="1132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anio_salida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tasa_salida_pct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coeficiente_pp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8.5801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4.5770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4.1469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2026-09-27T20:11:47Z</dcterms:modified>
  <cp:category/>
</cp:coreProperties>
</file>