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2c. Primer eslabón alternativo: rentabilidad y salida (pp por DE de exposición)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5700"/>
        <w:gridCol w:w="1462"/>
        <w:gridCol w:w="1854"/>
        <w:gridCol w:w="1132"/>
        <w:gridCol w:w="1609"/>
        <w:gridCol w:w="1609"/>
        <w:gridCol w:w="1731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Margen: 2022 -&gt; 2023 (con traslape)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-0.9330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Margen: 2022 -&gt; 2023 (con traslape)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-0.8931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Margen: 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Margen: 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Margen: promedio 2019 y 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-0.9679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Margen: promedio 2019 y 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Peso del costo laboral: 2022 -&gt; 2023 (con traslape)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Peso del costo laboral: 2022 -&gt; 2023 (con traslape)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Peso del costo laboral: 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-0.4931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Peso del costo laboral: 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-0.9752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Peso del costo laboral: promedio 2019 y 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Peso del costo laboral: promedio 2019 y 2021 -&gt;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Salida de la EAM en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Salida de la EAM en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Salida de la EAM en 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Salida de la EAM en 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4.3998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3.5274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5.2722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5,742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2026-09-27T20:11:45Z</dcterms:modified>
  <cp:category/>
</cp:coreProperties>
</file>