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Coeficiente del primer eslabón con exposición medida en 2022 y en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2038"/>
        <w:gridCol w:w="1744"/>
        <w:gridCol w:w="2038"/>
        <w:gridCol w:w="1744"/>
        <w:gridCol w:w="299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pareja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coef_base_2022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p_base_2022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coef_base_2019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p_base_2019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porcentaje_que_sobrevive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2026-09-27T20:11:47Z</dcterms:modified>
  <cp:category/>
</cp:coreProperties>
</file>