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Primer eslabón en el año del choque y en el placebo 2018-2019 (placebo no informativo, ver nota en el script)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2319"/>
        <w:gridCol w:w="1462"/>
        <w:gridCol w:w="1854"/>
        <w:gridCol w:w="1132"/>
        <w:gridCol w:w="1609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periodo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6,042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2026-09-27T20:11:48Z</dcterms:modified>
  <cp:category/>
</cp:coreProperties>
</file>