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1.1. Crecimiento del empleo 2022-2023 por DE de exposición, exposición medida en 2019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97"/>
        <w:gridCol w:w="2636"/>
        <w:gridCol w:w="1988"/>
        <w:gridCol w:w="1426"/>
        <w:gridCol w:w="1671"/>
        <w:gridCol w:w="1426"/>
        <w:gridCol w:w="1071"/>
        <w:gridCol w:w="1132"/>
        <w:gridCol w:w="1609"/>
        <w:gridCol w:w="101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clave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anio_exposicion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anio_base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anio_choque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ee_pct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5,919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5,919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2026-09-27T14:54:27Z</dcterms:modified>
  <cp:category/>
</cp:coreProperties>
</file>