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1.2. Empleo 2022-2023: exposición estándar (2022) vs. celda limpia (2019)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988"/>
        <w:gridCol w:w="1634"/>
        <w:gridCol w:w="1512"/>
        <w:gridCol w:w="1512"/>
        <w:gridCol w:w="1707"/>
        <w:gridCol w:w="1352"/>
        <w:gridCol w:w="1230"/>
        <w:gridCol w:w="1230"/>
        <w:gridCol w:w="1670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sig_limpio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2026-09-27T14:54:28Z</dcterms:modified>
  <cp:category/>
</cp:coreProperties>
</file>