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2.1. Empleo, choque 2023: efecto según el rezago de la exposición (0-5),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2636"/>
        <w:gridCol w:w="1988"/>
        <w:gridCol w:w="1426"/>
        <w:gridCol w:w="1671"/>
        <w:gridCol w:w="1426"/>
        <w:gridCol w:w="1071"/>
        <w:gridCol w:w="1132"/>
        <w:gridCol w:w="1609"/>
        <w:gridCol w:w="1010"/>
        <w:gridCol w:w="108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rezago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2026-09-27T14:54:33Z</dcterms:modified>
  <cp:category/>
</cp:coreProperties>
</file>