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3.2. Empleo: efecto promedio por grupo de aumento real (alto=2023; intermedio=2016-2019; negativo=2015,2022)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911"/>
        <w:gridCol w:w="3347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2026-09-27T14:54:42Z</dcterms:modified>
  <cp:category/>
</cp:coreProperties>
</file>