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3.3. Correlación entre el efecto sobre el empleo (celda limpia) y el aumento real, por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181"/>
        <w:gridCol w:w="29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correlacion_aumento_real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2026-09-27T14:54:43Z</dcterms:modified>
  <cp:category/>
</cp:coreProperties>
</file>