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Prueba conjunta de coeficientes previos (2015-2019, 2021 vs. 2022), exposición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976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2026-09-27T14:54:46Z</dcterms:modified>
  <cp:category/>
</cp:coreProperties>
</file>