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Especificación principal: efecto de Post x Exposición, sin y con tendencia pre-existente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2"/>
        <w:gridCol w:w="2710"/>
        <w:gridCol w:w="2319"/>
        <w:gridCol w:w="2013"/>
        <w:gridCol w:w="2392"/>
        <w:gridCol w:w="2087"/>
        <w:gridCol w:w="2013"/>
        <w:gridCol w:w="20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beta_sin_tendencia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p_sin_tendencia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beta_con_tendencia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p_con_tendencia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n_sin_tendencia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n_con_tendencia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exposicion_10pp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exposicion_10pp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exposicion_10pp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exposicion_10pp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Bite2022_obreros_wins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2026-09-15T01:09:00Z</dcterms:modified>
  <cp:category/>
</cp:coreProperties>
</file>