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Escrutinio completo (tendencia cuadrática y leave-one-year-out) para las celdas significativas en ambas versiones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2"/>
        <w:gridCol w:w="2710"/>
        <w:gridCol w:w="1768"/>
        <w:gridCol w:w="1034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prueba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Bite2022_obreros_wins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cuadratica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Bite2022_obreros_wins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excluye_2015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Bite2022_obreros_wins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excluye_2016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Bite2022_obreros_wins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excluye_2017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Bite2022_obreros_wins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excluye_2018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Bite2022_obreros_wins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excluye_2019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Bite2022_obreros_wins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cuadratica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Bite2022_obreros_wins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excluye_2015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Bite2022_obreros_wins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excluye_2016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Bite2022_obreros_wins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excluye_2017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Bite2022_obreros_wins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excluye_2018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Bite2022_obreros_wins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excluye_2019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-6.886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2026-09-15T01:09:04Z</dcterms:modified>
  <cp:category/>
</cp:coreProperties>
</file>