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16. Distribución de las firmas por quintil de exposición (2022)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36"/>
        <w:gridCol w:w="1010"/>
        <w:gridCol w:w="1694"/>
        <w:gridCol w:w="1903"/>
        <w:gridCol w:w="1755"/>
        <w:gridCol w:w="2172"/>
        <w:gridCol w:w="2282"/>
        <w:gridCol w:w="269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firmas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kaitz_minimo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kaitz_promedio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kaitz_maximo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empleo_promedio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empleo_total_2022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porcentaje_del_empleo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Q1 (menos expuestas)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262.85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268,108.00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41.30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158.00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161,473.00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24.90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98,076.00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70,117.00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10.80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49.72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50,713.00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7.80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2026-09-27T22:38:39Z</dcterms:modified>
  <cp:category/>
</cp:coreProperties>
</file>