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17b. Cambio en 2023 y 2024 frente a 2022, por quintil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961"/>
        <w:gridCol w:w="2391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4.9578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5.1807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5.5140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8.2053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11.9576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-1.5495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-1.7922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-1.3747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-2.2080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-0.7677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-1.9377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2026-09-27T22:38:42Z</dcterms:modified>
  <cp:category/>
</cp:coreProperties>
</file>