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17c. Cambio en 2023 y 2024 frente al promedio de 2015-2019, por quintil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900"/>
        <w:gridCol w:w="2391"/>
        <w:gridCol w:w="1462"/>
        <w:gridCol w:w="1854"/>
        <w:gridCol w:w="1132"/>
        <w:gridCol w:w="1609"/>
        <w:gridCol w:w="1609"/>
        <w:gridCol w:w="1731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0.1194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-1.0474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-5.5522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-2.8864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-6.9842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-3.0887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-3.2270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-6.4690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-7.9927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-5.8979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-12.7351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-13.5305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-15.5248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-0.1666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-0.1113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-16.6633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2026-09-27T22:38:43Z</dcterms:modified>
  <cp:category/>
</cp:coreProperties>
</file>