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17d. El cambio de 2023 por quintil, según el período de comparación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2441"/>
        <w:gridCol w:w="2160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-15.5248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-6.9842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2026-09-27T22:38:44Z</dcterms:modified>
  <cp:category/>
</cp:coreProperties>
</file>