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20. Resultado principal con y sin el quintil más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2575"/>
        <w:gridCol w:w="1462"/>
        <w:gridCol w:w="1854"/>
        <w:gridCol w:w="1132"/>
        <w:gridCol w:w="1609"/>
        <w:gridCol w:w="1609"/>
        <w:gridCol w:w="1731"/>
        <w:gridCol w:w="182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-3.9040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2026-09-27T22:38:47Z</dcterms:modified>
  <cp:category/>
</cp:coreProperties>
</file>