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23. Cambio de 2023 por quintil, con el Kaitz construido sobre el salario promedio de 2019-2021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2441"/>
        <w:gridCol w:w="2391"/>
        <w:gridCol w:w="1462"/>
        <w:gridCol w:w="1854"/>
        <w:gridCol w:w="1132"/>
        <w:gridCol w:w="1609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4.4273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2.8527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3.9332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-2.0645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-1.5410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-2.4580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-4.1097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-8.0907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-8.2231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-13.0296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2026-09-27T22:38:55Z</dcterms:modified>
  <cp:category/>
</cp:coreProperties>
</file>