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25. El quintil más expuesto: efecto real y efecto falso, con cada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3701"/>
        <w:gridCol w:w="5389"/>
        <w:gridCol w:w="4520"/>
        <w:gridCol w:w="4838"/>
        <w:gridCol w:w="397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efecto_porcentual_Placebo (año sin choque: 2019)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efecto_porcentual_Real (choque de 2023)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significancia_Placebo (año sin choque: 2019)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significancia_Real (choque de 2023)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2026-09-27T22:38:59Z</dcterms:modified>
  <cp:category/>
</cp:coreProperties>
</file>