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Primera etapa: Kaitz 2022 contra Kaitz de años previos (corte de firmas, controles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1695"/>
        <w:gridCol w:w="2086"/>
        <w:gridCol w:w="1132"/>
        <w:gridCol w:w="1291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instrumento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F_primera_etapa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r2_within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1,509.4279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765.7908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2021 + 2019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 / 0.194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1,086.0712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2026-09-27T15:35:11Z</dcterms:modified>
  <cp:category/>
</cp:coreProperties>
</file>