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Coeficientes del event study por año (referencia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787"/>
        <w:gridCol w:w="961"/>
        <w:gridCol w:w="1462"/>
        <w:gridCol w:w="1854"/>
        <w:gridCol w:w="11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2026-09-27T15:35:22Z</dcterms:modified>
  <cp:category/>
</cp:coreProperties>
</file>