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17b. Cambio en 2023 y 2024 frente a 2022,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61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-1.9377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2026-09-27T23:25:14Z</dcterms:modified>
  <cp:category/>
</cp:coreProperties>
</file>