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17c. Cambio en 2023 y 2024 frente al promedio de 2015-2019, por quintil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639"/>
        <w:gridCol w:w="900"/>
        <w:gridCol w:w="2391"/>
        <w:gridCol w:w="1462"/>
        <w:gridCol w:w="1854"/>
        <w:gridCol w:w="1132"/>
        <w:gridCol w:w="1609"/>
        <w:gridCol w:w="1609"/>
        <w:gridCol w:w="1731"/>
        <w:gridCol w:w="2160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resultado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anio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quintil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coeficiente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error_estandar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p_valor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significancia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ic95_inferior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ic95_superior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efecto_porcentual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Costo laboral por trabajador (log)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0.0046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0.0142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0.7440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-0.0231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0.0324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0.4627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Costo laboral por trabajador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0.9226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0.1194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Costo laboral por trabajador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0.3223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-0.0442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-1.4841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Costo laboral por trabajador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0.3958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-0.0346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-1.0474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Costo laboral por trabajador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-0.0555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-0.0830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-5.5522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Costo laboral por trabajador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-0.0550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-2.8864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Costo laboral por trabajador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Q5 (más expuestas)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-0.0698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-0.0993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-0.0404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-6.9842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Costo laboral por trabajador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Q5 (más expuestas)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-0.0309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-0.0564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-3.0887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-0.0323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0.1893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-0.0804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-3.2270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-0.0647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-0.1158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-6.4690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-0.0799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-0.1302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-7.9927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-0.0590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-0.1122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-5.8979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-0.1274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-0.1798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-0.0749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-12.7351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-0.1353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-0.1894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-0.0812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-13.5305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Q5 (más expuestas)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-0.1552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-0.2086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-15.5248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Q5 (más expuestas)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-0.1666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0.0282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-0.2219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-0.1113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-16.6633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2026-09-27T23:25:15Z</dcterms:modified>
  <cp:category/>
</cp:coreProperties>
</file>