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17d. El cambio de 2023 por quintil, según el período de comparación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391"/>
        <w:gridCol w:w="2441"/>
        <w:gridCol w:w="2160"/>
        <w:gridCol w:w="1132"/>
        <w:gridCol w:w="1609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referencia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-5.5522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-12.7351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-15.5248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-0.1019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2026-09-27T23:25:15Z</dcterms:modified>
  <cp:category/>
</cp:coreProperties>
</file>