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23. Cambio de 2023 por quintil, con el Kaitz construido sobre el salario promedio de 2019-2021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441"/>
        <w:gridCol w:w="2391"/>
        <w:gridCol w:w="1462"/>
        <w:gridCol w:w="1854"/>
        <w:gridCol w:w="1132"/>
        <w:gridCol w:w="160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-4.1097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-8.2231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-13.0296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2026-09-27T23:25:27Z</dcterms:modified>
  <cp:category/>
</cp:coreProperties>
</file>