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24. Las tres medidas de exposición: salto real de 2023 frente al placebo de 2019. Real: año base 2022, promedio 2019, 2021 y 2022. Placebo: año base 2018, promedio 2015-2018.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39"/>
        <w:gridCol w:w="4544"/>
        <w:gridCol w:w="3517"/>
        <w:gridCol w:w="2391"/>
        <w:gridCol w:w="2160"/>
        <w:gridCol w:w="1854"/>
        <w:gridCol w:w="1132"/>
        <w:gridCol w:w="1609"/>
        <w:gridCol w:w="101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ejercicio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el año base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2.0747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el año base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el año base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el año base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el año base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el año base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el año base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el año base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8.2053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de los años previos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de los años previos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de los años previos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de los años previos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de los años previos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de los años previos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de los años previos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de los años previos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el año base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el año base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el año base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el año base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el año base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el año base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-1.3747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el año base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el año base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de los años previos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de los años previos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de los años previos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de los años previos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de los años previos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de los años previos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de los años previos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de los años previos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-4.1382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-3.9141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-3.7913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-4.7933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-4.7628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-3.5153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2,839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-3.4614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3,155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2026-09-27T23:25:30Z</dcterms:modified>
  <cp:category/>
</cp:coreProperties>
</file>