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Primer eslabón con exposición de 2019 y crecimiento 2022-2023 (especificación principal)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5"/>
        <w:gridCol w:w="1426"/>
        <w:gridCol w:w="2025"/>
        <w:gridCol w:w="2147"/>
        <w:gridCol w:w="1132"/>
        <w:gridCol w:w="1609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nombre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5,439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2026-09-24T21:11:53Z</dcterms:modified>
  <cp:category/>
</cp:coreProperties>
</file>