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Todas las combinaciones de año base de exposición y de outcome, con su problema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5"/>
        <w:gridCol w:w="3786"/>
        <w:gridCol w:w="1426"/>
        <w:gridCol w:w="1132"/>
        <w:gridCol w:w="1609"/>
        <w:gridCol w:w="1829"/>
        <w:gridCol w:w="7076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especificacion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problema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2019-23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Sesgo de división al revés: 2019 en los dos lados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2021-23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Limpia pero el outcome mezcla dos aumentos del mínimo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2022-23 (LIMPIA)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atenuación: sesga hacia cero, es cota inferior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2019-23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Post-tratamiento + pandemia dentro del outcome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2021-23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Exposición post-tratamiento: el outcome incluye el aumento de 2022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2022-23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Sesgo de división: 2022 en los dos lados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2019-23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Sesgo de división al revés: 2019 en los dos lados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2021-23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Limpia pero el outcome mezcla dos aumentos del mínimo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2022-23 (LIMPIA)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atenuación: sesga hacia cero, es cota inferior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2019-23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Post-tratamiento + pandemia dentro del outcome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2021-23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Exposición post-tratamiento: el outcome incluye el aumento de 2022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2022-23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Sesgo de división: 2022 en los dos lados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2019-23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Sesgo de división al revés: 2019 en los dos lados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2021-23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Limpia pero el outcome mezcla dos aumentos del mínimo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2022-23 (LIMPIA)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atenuación: sesga hacia cero, es cota inferior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2019-23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Post-tratamiento + pandemia dentro del outcome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2021-23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Exposición post-tratamiento: el outcome incluye el aumento de 2022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2022-23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Sesgo de división: 2022 en los dos lados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2019-23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Sesgo de división al revés: 2019 en los dos lados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2021-23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Limpia pero el outcome mezcla dos aumentos del mínimo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2022-23 (LIMPIA)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atenuación: sesga hacia cero, es cota inferior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2019-23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Post-tratamiento + pandemia dentro del outcome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2021-23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Exposición post-tratamiento: el outcome incluye el aumento de 2022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2022-23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Sesgo de división: 2022 en los dos lados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2019-23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Sesgo de división al revés: 2019 en los dos lados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2021-23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Limpia pero el outcome mezcla dos aumentos del mínimo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2022-23 (LIMPIA)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atenuación: sesga hacia cero, es cota inferior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2019-23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Post-tratamiento + pandemia dentro del outcome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2021-23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Exposición post-tratamiento: el outcome incluye el aumento de 2022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2022-23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Sesgo de división: 2022 en los dos lados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2026-09-24T21:11:55Z</dcterms:modified>
  <cp:category/>
</cp:coreProperties>
</file>