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Primera etapa con exposición medida en 2022 y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1438"/>
        <w:gridCol w:w="1145"/>
        <w:gridCol w:w="1304"/>
        <w:gridCol w:w="1145"/>
        <w:gridCol w:w="1438"/>
        <w:gridCol w:w="1145"/>
        <w:gridCol w:w="1304"/>
        <w:gridCol w:w="1145"/>
        <w:gridCol w:w="285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razon_2019_sobre_2022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2026-09-24T21:06:09Z</dcterms:modified>
  <cp:category/>
</cp:coreProperties>
</file>