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Perfil de ajuste: qué canal domina en cada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355"/>
        <w:gridCol w:w="1645"/>
        <w:gridCol w:w="2049"/>
        <w:gridCol w:w="1548"/>
        <w:gridCol w:w="3321"/>
        <w:gridCol w:w="190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mecanismo_dominante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n_significativos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2026-09-24T21:40:21Z</dcterms:modified>
  <cp:category/>
</cp:coreProperties>
</file>