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4. Magnitud del choque y respuesta de empleo por grupo de tamaño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92"/>
        <w:gridCol w:w="3138"/>
        <w:gridCol w:w="1695"/>
        <w:gridCol w:w="961"/>
        <w:gridCol w:w="1695"/>
        <w:gridCol w:w="961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tamano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efecto_A_pct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sig_A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efecto_B_pct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sig_B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23,222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23,222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13,946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13,947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6,662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6,662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2026-09-24T21:40:27Z</dcterms:modified>
  <cp:category/>
</cp:coreProperties>
</file>