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Síntesis: choque, empleo y canal principal de ajuste por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4544"/>
        <w:gridCol w:w="3040"/>
        <w:gridCol w:w="3810"/>
        <w:gridCol w:w="2306"/>
        <w:gridCol w:w="3223"/>
        <w:gridCol w:w="1658"/>
        <w:gridCol w:w="253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efecto_A_pct_Costo laboral por trabajador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efecto_A_pct_Empleo 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sig_A_Costo laboral por trabajador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sig_A_Empleo 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canal_principal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canales_significativos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2026-09-24T21:40:34Z</dcterms:modified>
  <cp:category/>
</cp:coreProperties>
</file>