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Primer eslabón: efecto de una DE de exposición sobre el crecimiento del costo laboral 2022-2023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205"/>
        <w:gridCol w:w="1303"/>
        <w:gridCol w:w="1462"/>
        <w:gridCol w:w="1854"/>
        <w:gridCol w:w="1132"/>
        <w:gridCol w:w="1609"/>
        <w:gridCol w:w="1609"/>
        <w:gridCol w:w="1731"/>
        <w:gridCol w:w="1426"/>
        <w:gridCol w:w="1829"/>
        <w:gridCol w:w="15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r2_ajustado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2026-09-24T20:46:28Z</dcterms:modified>
  <cp:category/>
</cp:coreProperties>
</file>