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Primer eslabón en el año del choque y en un período sin choque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19"/>
        <w:gridCol w:w="1462"/>
        <w:gridCol w:w="1854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Choque 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2018-2019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2026-09-24T20:47:00Z</dcterms:modified>
  <cp:category/>
</cp:coreProperties>
</file>