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Crecimiento del costo laboral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985"/>
        <w:gridCol w:w="1010"/>
        <w:gridCol w:w="2918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crecimiento_mediano_pct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2026-09-24T20:47:21Z</dcterms:modified>
  <cp:category/>
</cp:coreProperties>
</file>