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Segundo eslabón: efecto sobre el empleo total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951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76.163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-182.367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334.694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126.588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413.636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-265.168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-497.799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-32.537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-137.485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-45.634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-198.866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107.598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-68.150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316.878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-136.185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247.226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-155.775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261.376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-160.817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-331.039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-145.771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243.872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-151.067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283.691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-166.808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-381.297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-160.813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-325.199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-176.289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-369.363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-203.281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-399.456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53,974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53,974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2026-09-24T21:28:02Z</dcterms:modified>
  <cp:category/>
</cp:coreProperties>
</file>