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Elasticidad implícita empleo-costo laboral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2343"/>
        <w:gridCol w:w="1548"/>
        <w:gridCol w:w="1768"/>
        <w:gridCol w:w="1891"/>
        <w:gridCol w:w="1450"/>
        <w:gridCol w:w="2086"/>
        <w:gridCol w:w="220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primer_eslabon_pct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elasticidad_ic_sup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2026-09-24T21:28:06Z</dcterms:modified>
  <cp:category/>
</cp:coreProperties>
</file>