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Test conjunto de tendencias diferenciales pre-choque (2015-2019), sin y con controles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42"/>
        <w:gridCol w:w="2710"/>
        <w:gridCol w:w="1952"/>
        <w:gridCol w:w="202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p_sin_controles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p_con_controles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2026-09-15T00:42:01Z</dcterms:modified>
  <cp:category/>
</cp:coreProperties>
</file>