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1.1. Diferencial del costo laboral por DE de exposición, año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426"/>
        <w:gridCol w:w="2514"/>
        <w:gridCol w:w="1426"/>
        <w:gridCol w:w="1071"/>
        <w:gridCol w:w="1132"/>
        <w:gridCol w:w="1609"/>
        <w:gridCol w:w="1010"/>
        <w:gridCol w:w="1487"/>
        <w:gridCol w:w="961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2026-09-26T20:16:16Z</dcterms:modified>
  <cp:category/>
</cp:coreProperties>
</file>