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Tabla 1.2. El diferencial de 2023 frente a los años normales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5779"/>
        <w:gridCol w:w="1034"/>
      </w:tblGrid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concepto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valor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Diferencial de 2023 (año del choque)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2.890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Promedio de los años normales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4.368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Mínimo de los años normales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3.162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Máximo de los años normales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5.673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Exceso de 2023 sobre el promedio normal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-1.478</w:t>
            </w:r>
          </w:p>
        </w:tc>
      </w:tr>
      <w:tr>
        <w:trPr>
          <w:trHeight w:val="623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¿2023 está por encima de TODOS los años normales?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2026-09-26T20:16:17Z</dcterms:modified>
  <cp:category/>
</cp:coreProperties>
</file>