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1.3. Diferencial medido frente al aumento nominal y real del mínimo de cada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2514"/>
        <w:gridCol w:w="1426"/>
        <w:gridCol w:w="1071"/>
        <w:gridCol w:w="1487"/>
        <w:gridCol w:w="217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2026-09-26T20:16:18Z</dcterms:modified>
  <cp:category/>
</cp:coreProperties>
</file>