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1.3b. Diferencial promedio por grupo de aumento real del salario mínimo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92"/>
        <w:gridCol w:w="2735"/>
        <w:gridCol w:w="1181"/>
        <w:gridCol w:w="2465"/>
        <w:gridCol w:w="1903"/>
        <w:gridCol w:w="196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grupo_aumento_real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efecto_promedio_pct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efecto_min_pct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efecto_max_pct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(2023-2024)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2023, 2024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(2016-2019)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5.048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Bajo o negativo (2015, 2021, 2022)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2026-09-26T20:16:18Z</dcterms:modified>
  <cp:category/>
</cp:coreProperties>
</file>